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fontTable.xml" ContentType="application/vnd.openxmlformats-officedocument.wordprocessingml.fontTable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both"/>
        <w:rPr/>
      </w:pPr>
      <w:r>
        <w:rPr/>
      </w:r>
    </w:p>
    <w:p>
      <w:pPr>
        <w:pStyle w:val="Normal"/>
        <w:spacing w:lineRule="auto" w:line="276"/>
        <w:jc w:val="end"/>
        <w:rPr>
          <w:rFonts w:cs="Calibri" w:cstheme="minorHAnsi"/>
          <w:b/>
        </w:rPr>
      </w:pPr>
      <w:r>
        <w:rPr>
          <w:rFonts w:cs="Calibri" w:cstheme="minorHAnsi"/>
          <w:b/>
        </w:rPr>
        <w:t xml:space="preserve">Załącznik nr </w:t>
      </w:r>
      <w:r>
        <w:rPr>
          <w:rFonts w:cs="Calibri" w:cstheme="minorHAnsi"/>
          <w:b/>
        </w:rPr>
        <w:t>5</w:t>
      </w:r>
      <w:r>
        <w:rPr>
          <w:rFonts w:cs="Calibri" w:cstheme="minorHAnsi"/>
          <w:b/>
        </w:rPr>
        <w:t xml:space="preserve"> do SWZ</w:t>
      </w:r>
    </w:p>
    <w:p>
      <w:pPr>
        <w:pStyle w:val="Normal"/>
        <w:spacing w:lineRule="auto" w:line="276" w:before="240" w:after="160"/>
        <w:jc w:val="center"/>
        <w:rPr>
          <w:rFonts w:cs="Calibri" w:cstheme="minorHAnsi"/>
          <w:b/>
          <w:sz w:val="26"/>
          <w:szCs w:val="26"/>
        </w:rPr>
      </w:pPr>
      <w:r>
        <w:rPr>
          <w:rFonts w:cs="Calibri" w:cstheme="minorHAnsi"/>
          <w:b/>
          <w:sz w:val="26"/>
          <w:szCs w:val="26"/>
        </w:rPr>
        <w:t xml:space="preserve">Oświadczenie Wykonawcy </w:t>
      </w:r>
    </w:p>
    <w:p>
      <w:pPr>
        <w:pStyle w:val="Normal"/>
        <w:spacing w:lineRule="auto" w:line="360"/>
        <w:jc w:val="center"/>
        <w:rPr>
          <w:rFonts w:cs="Calibri" w:cstheme="minorHAnsi"/>
          <w:b/>
        </w:rPr>
      </w:pPr>
      <w:r>
        <w:rPr>
          <w:rFonts w:cs="Calibri" w:cstheme="minorHAnsi"/>
          <w:b/>
        </w:rPr>
        <w:t>dotyczące przesłanek wymienionych w art. 7 ust. 1 ustawy</w:t>
      </w:r>
      <w:r>
        <w:rPr>
          <w:rStyle w:val="FootnoteReference"/>
          <w:rFonts w:cs="Calibri" w:cstheme="minorHAnsi"/>
          <w:b/>
        </w:rPr>
        <w:footnoteReference w:id="2"/>
      </w:r>
      <w:r>
        <w:rPr>
          <w:rFonts w:cs="Calibri" w:cstheme="minorHAnsi"/>
          <w:b/>
        </w:rPr>
        <w:t xml:space="preserve"> art. 5k Rozporządzenia</w:t>
      </w:r>
      <w:r>
        <w:rPr>
          <w:rStyle w:val="FootnoteReference"/>
          <w:rFonts w:cs="Calibri" w:cstheme="minorHAnsi"/>
          <w:b/>
        </w:rPr>
        <w:footnoteReference w:id="3"/>
      </w:r>
      <w:r>
        <w:rPr>
          <w:rFonts w:cs="Calibri" w:cstheme="minorHAnsi"/>
          <w:b/>
        </w:rPr>
        <w:t xml:space="preserve"> </w:t>
      </w:r>
    </w:p>
    <w:p>
      <w:pPr>
        <w:pStyle w:val="Normal"/>
        <w:rPr>
          <w:rFonts w:ascii="Calibri" w:hAnsi="Calibri" w:cs="Calibri"/>
        </w:rPr>
      </w:pPr>
      <w:r>
        <w:rPr>
          <w:rFonts w:cs="Calibri"/>
        </w:rPr>
        <w:t xml:space="preserve">Ja / my niżej podpisany(-i) </w:t>
      </w:r>
    </w:p>
    <w:tbl>
      <w:tblPr>
        <w:tblStyle w:val="Tabela-Siatka"/>
        <w:tblW w:w="9062" w:type="dxa"/>
        <w:jc w:val="start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firstRow="1" w:noVBand="1" w:lastRow="0" w:firstColumn="1" w:lastColumn="0" w:noHBand="0" w:val="04a0"/>
      </w:tblPr>
      <w:tblGrid>
        <w:gridCol w:w="9062"/>
      </w:tblGrid>
      <w:tr>
        <w:trPr/>
        <w:tc>
          <w:tcPr>
            <w:tcW w:w="9062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start"/>
              <w:rPr>
                <w:rFonts w:ascii="Calibri" w:hAnsi="Calibri" w:cs="Calibri"/>
              </w:rPr>
            </w:pPr>
            <w:r>
              <w:rPr>
                <w:rFonts w:cs="Calibri"/>
              </w:rPr>
            </w:r>
          </w:p>
          <w:p>
            <w:pPr>
              <w:pStyle w:val="Normal"/>
              <w:widowControl/>
              <w:suppressAutoHyphens w:val="true"/>
              <w:spacing w:before="0" w:after="0"/>
              <w:jc w:val="start"/>
              <w:rPr>
                <w:rFonts w:ascii="Calibri" w:hAnsi="Calibri" w:cs="Calibri"/>
              </w:rPr>
            </w:pPr>
            <w:r>
              <w:rPr>
                <w:rFonts w:cs="Calibri"/>
              </w:rPr>
            </w:r>
          </w:p>
        </w:tc>
      </w:tr>
    </w:tbl>
    <w:p>
      <w:pPr>
        <w:pStyle w:val="Normal"/>
        <w:spacing w:before="60" w:after="160"/>
        <w:rPr>
          <w:rFonts w:ascii="Calibri" w:hAnsi="Calibri" w:cs="Calibri"/>
        </w:rPr>
      </w:pPr>
      <w:r>
        <w:rPr>
          <w:rFonts w:cs="Calibri"/>
        </w:rPr>
        <w:t xml:space="preserve">działając w imieniu i na rzecz  (nazwa /firma/ i adres Wykonawcy) </w:t>
      </w:r>
    </w:p>
    <w:tbl>
      <w:tblPr>
        <w:tblStyle w:val="Tabela-Siatka"/>
        <w:tblW w:w="9062" w:type="dxa"/>
        <w:jc w:val="start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firstRow="1" w:noVBand="1" w:lastRow="0" w:firstColumn="1" w:lastColumn="0" w:noHBand="0" w:val="04a0"/>
      </w:tblPr>
      <w:tblGrid>
        <w:gridCol w:w="9062"/>
      </w:tblGrid>
      <w:tr>
        <w:trPr/>
        <w:tc>
          <w:tcPr>
            <w:tcW w:w="9062" w:type="dxa"/>
            <w:tcBorders/>
          </w:tcPr>
          <w:p>
            <w:pPr>
              <w:pStyle w:val="Normal"/>
              <w:widowControl/>
              <w:suppressAutoHyphens w:val="true"/>
              <w:spacing w:lineRule="auto" w:line="360" w:before="0" w:after="0"/>
              <w:jc w:val="both"/>
              <w:rPr>
                <w:rFonts w:ascii="Calibri" w:hAnsi="Calibri" w:cs="Calibri"/>
              </w:rPr>
            </w:pPr>
            <w:r>
              <w:rPr>
                <w:rFonts w:cs="Calibri"/>
              </w:rPr>
            </w:r>
          </w:p>
          <w:p>
            <w:pPr>
              <w:pStyle w:val="Normal"/>
              <w:widowControl/>
              <w:suppressAutoHyphens w:val="true"/>
              <w:spacing w:lineRule="auto" w:line="360" w:before="0" w:after="0"/>
              <w:jc w:val="both"/>
              <w:rPr>
                <w:rFonts w:ascii="Calibri" w:hAnsi="Calibri" w:cs="Calibri"/>
              </w:rPr>
            </w:pPr>
            <w:r>
              <w:rPr>
                <w:rFonts w:cs="Calibri"/>
              </w:rPr>
            </w:r>
          </w:p>
        </w:tc>
      </w:tr>
    </w:tbl>
    <w:p>
      <w:pPr>
        <w:pStyle w:val="Normal"/>
        <w:spacing w:lineRule="auto" w:line="276" w:before="60" w:after="160"/>
        <w:rPr>
          <w:rFonts w:ascii="Calibri" w:hAnsi="Calibri" w:cs="Calibri"/>
        </w:rPr>
      </w:pPr>
      <w:r>
        <w:rPr>
          <w:rFonts w:cs="Calibri" w:cstheme="minorHAnsi"/>
        </w:rPr>
        <w:t xml:space="preserve">na potrzeby postępowania o udzielenie zamówienia publicznego </w:t>
      </w:r>
      <w:r>
        <w:rPr>
          <w:rFonts w:cs="Calibri"/>
        </w:rPr>
        <w:t xml:space="preserve">prowadzonego, </w:t>
      </w:r>
      <w:r>
        <w:rPr>
          <w:rFonts w:cs="Calibri" w:cstheme="minorHAnsi"/>
        </w:rPr>
        <w:t>prowadzonego przez Instytut Psychiatrii i Neurologii w Warszawie</w:t>
      </w:r>
      <w:r>
        <w:rPr>
          <w:rFonts w:cs="Calibri" w:cstheme="minorHAnsi"/>
          <w:i/>
        </w:rPr>
        <w:t xml:space="preserve">, </w:t>
      </w:r>
      <w:r>
        <w:rPr>
          <w:rFonts w:cs="Calibri" w:cstheme="minorHAnsi"/>
        </w:rPr>
        <w:t>składam/składamy następujące oświadczenie:</w:t>
      </w:r>
    </w:p>
    <w:p>
      <w:pPr>
        <w:pStyle w:val="Normal"/>
        <w:jc w:val="center"/>
        <w:rPr>
          <w:b/>
          <w:bCs/>
        </w:rPr>
      </w:pPr>
      <w:r>
        <w:rPr>
          <w:b/>
          <w:bCs/>
        </w:rPr>
      </w:r>
    </w:p>
    <w:p>
      <w:pPr>
        <w:pStyle w:val="ListParagraph"/>
        <w:numPr>
          <w:ilvl w:val="0"/>
          <w:numId w:val="8"/>
        </w:numPr>
        <w:ind w:hanging="284" w:start="284"/>
        <w:jc w:val="both"/>
        <w:rPr/>
      </w:pPr>
      <w:r>
        <w:rPr/>
        <w:t xml:space="preserve">W związku z art. 7 ust. 1 ustawy z 13 kwietnia 2022 r. o szczególnych rozwiązaniach w zakresie przeciwdziałania wspieraniu agresji na Ukrainę oraz służących ochronie bezpieczeństwa narodowego oświadczam, że wykonawca: </w:t>
      </w:r>
    </w:p>
    <w:p>
      <w:pPr>
        <w:pStyle w:val="ListParagraph"/>
        <w:ind w:hanging="284" w:start="284"/>
        <w:jc w:val="both"/>
        <w:rPr/>
      </w:pPr>
      <w:r>
        <w:rPr/>
      </w:r>
    </w:p>
    <w:p>
      <w:pPr>
        <w:pStyle w:val="ListParagraph"/>
        <w:numPr>
          <w:ilvl w:val="0"/>
          <w:numId w:val="9"/>
        </w:numPr>
        <w:jc w:val="both"/>
        <w:rPr/>
      </w:pPr>
      <w:r>
        <w:rPr/>
        <w:t xml:space="preserve">jest*/nie jest* wymieniony w wykazach określonych w rozporządzeniu 765/2006 i rozporządzeniu 269/2014 albo wpisany na listę na podstawie decyzji w sprawie wpisu na listę rozstrzygającej o zastosowaniu środka, o którym mowa w art. 1 pkt 3 ww. ustawy; </w:t>
      </w:r>
    </w:p>
    <w:p>
      <w:pPr>
        <w:pStyle w:val="ListParagraph"/>
        <w:numPr>
          <w:ilvl w:val="0"/>
          <w:numId w:val="5"/>
        </w:numPr>
        <w:jc w:val="both"/>
        <w:rPr/>
      </w:pPr>
      <w:r>
        <w:rPr/>
        <w:t>jest*/nie jest* beneficjentem rzeczywistym wykonawcy w rozumieniu ustawy z 1 marca 2018 r. o przeciwdziałaniu praniu pieniędzy oraz finansowaniu terroryzmu (tekst jedn.: Dz.U. z 2025 r. poz. 644),</w:t>
      </w:r>
    </w:p>
    <w:p>
      <w:pPr>
        <w:pStyle w:val="ListParagraph"/>
        <w:numPr>
          <w:ilvl w:val="0"/>
          <w:numId w:val="5"/>
        </w:numPr>
        <w:jc w:val="both"/>
        <w:rPr/>
      </w:pPr>
      <w:r>
        <w:rPr/>
        <w:t xml:space="preserve">jest*/nie jest* osobą wymienioną w wykazach określonych w rozporządzeniu 765/2006 i rozporządzeniu 269/2014 albo wpisaną na listę lub będącą takim beneficjentem rzeczywistym od 24 lutego 2022 r., o ile została wpisana na listę na podstawie decyzji w sprawie wpisu na listę rozstrzygającej o zastosowaniu środka, o którym mowa w art. 1 pkt 3 ww. ustawy; </w:t>
      </w:r>
    </w:p>
    <w:p>
      <w:pPr>
        <w:pStyle w:val="ListParagraph"/>
        <w:numPr>
          <w:ilvl w:val="0"/>
          <w:numId w:val="5"/>
        </w:numPr>
        <w:jc w:val="both"/>
        <w:rPr/>
      </w:pPr>
      <w:r>
        <w:rPr/>
        <w:t xml:space="preserve">jest*/nie jest* jednostką dominującą wykonawcy w rozumieniu art. 3 ust. 1 pkt 37 ustawy z 29 września 1994 r. o rachunkowości (tekst jedn.: Dz.U. z 2023 r. poz. 120 ze zm.), </w:t>
      </w:r>
    </w:p>
    <w:p>
      <w:pPr>
        <w:pStyle w:val="ListParagraph"/>
        <w:numPr>
          <w:ilvl w:val="0"/>
          <w:numId w:val="5"/>
        </w:numPr>
        <w:jc w:val="both"/>
        <w:rPr/>
      </w:pPr>
      <w:r>
        <w:rPr/>
        <w:t>jest*/nie jest* podmiotem wymienionym w wykazach określonych w rozporządzeniu 765/2006 i rozporządzeniu 269/2014 albo wpisanym na listę lub będącym taką jednostką dominującą od 24 lutego 2022 r., o ile został wpisany na listę na podstawie decyzji w sprawie wpisu na listę rozstrzygającej o zastosowaniu środka, o którym mowa w art. 1 pkt 3 ww. ustawy.</w:t>
      </w:r>
    </w:p>
    <w:p>
      <w:pPr>
        <w:pStyle w:val="Normal"/>
        <w:rPr/>
      </w:pPr>
      <w:r>
        <w:rPr/>
      </w:r>
    </w:p>
    <w:p>
      <w:pPr>
        <w:pStyle w:val="ListParagraph"/>
        <w:numPr>
          <w:ilvl w:val="0"/>
          <w:numId w:val="4"/>
        </w:numPr>
        <w:jc w:val="both"/>
        <w:rPr/>
      </w:pPr>
      <w:r>
        <w:rPr/>
        <w:t>W związku z art. 5k ust. 1 Rozporządzenia Rady (UE) Nr 833/2014 z 31 lipca 2014 r. dotyczącego środków ograniczających w związku z działaniami Rosji destabilizującymi sytuację na Ukrainie/* oświadczam, że:</w:t>
      </w:r>
    </w:p>
    <w:p>
      <w:pPr>
        <w:pStyle w:val="ListParagraph"/>
        <w:numPr>
          <w:ilvl w:val="0"/>
          <w:numId w:val="10"/>
        </w:numPr>
        <w:jc w:val="both"/>
        <w:rPr/>
      </w:pPr>
      <w:r>
        <w:rPr/>
        <w:t>jestem* / nie jestem* obywatelem rosyjskim lub osobą fizyczną zamieszkałą w Rosji lub osobą prawną, podmiotem lub organem z siedzibą w Rosji,</w:t>
      </w:r>
    </w:p>
    <w:p>
      <w:pPr>
        <w:pStyle w:val="ListParagraph"/>
        <w:numPr>
          <w:ilvl w:val="0"/>
          <w:numId w:val="6"/>
        </w:numPr>
        <w:jc w:val="both"/>
        <w:rPr/>
      </w:pPr>
      <w:r>
        <w:rPr/>
        <w:t xml:space="preserve">jestem* / nie jestem* osobą prawną, podmiotem lub organem, do których prawa własności bezpośrednio lub pośrednio w ponad 50% należą do osoby fizycznej lub prawnej, podmiotu lub organu, o których mowa w pkt 1, </w:t>
      </w:r>
    </w:p>
    <w:p>
      <w:pPr>
        <w:pStyle w:val="ListParagraph"/>
        <w:numPr>
          <w:ilvl w:val="0"/>
          <w:numId w:val="6"/>
        </w:numPr>
        <w:jc w:val="both"/>
        <w:rPr/>
      </w:pPr>
      <w:r>
        <w:rPr/>
        <w:t xml:space="preserve">jestem* / nie jestem* osobą fizyczną lub prawną, podmiotem lub organem działającym w imieniu lub pod kierunkiem podmiotu, o którym mowa w pkt 1 lub 2. </w:t>
      </w:r>
    </w:p>
    <w:p>
      <w:pPr>
        <w:pStyle w:val="ListParagraph"/>
        <w:jc w:val="both"/>
        <w:rPr/>
      </w:pPr>
      <w:r>
        <w:rPr/>
      </w:r>
    </w:p>
    <w:p>
      <w:pPr>
        <w:pStyle w:val="ListParagraph"/>
        <w:numPr>
          <w:ilvl w:val="0"/>
          <w:numId w:val="4"/>
        </w:numPr>
        <w:jc w:val="both"/>
        <w:rPr/>
      </w:pPr>
      <w:r>
        <w:rPr/>
        <w:t xml:space="preserve">W związku z art. 5k ust. 1 Rozporządzenia Rady (UE) Nr 833/2014 z 31 lipca 2014 r. dotyczącego środków ograniczających w związku z działaniami Rosji destabilizującymi sytuację na Ukrainie zobowiązujemy się nie wykonywać zamówienia z udziałem podwykonawców, dostawców lub podmiotów, na których zdolności polega się w rozumieniu dyrektywy 2014/24/UE, o których mowa w art. 5k rozporządzenia Rady (UE) nr 833/2014 z 31 lipca 2014 r. dotyczącego środków ograniczających w związku z działaniami Rosji destabilizującymi sytuację na Ukrainie, w przypadku gdy przypada na nich ponad 10% wartości zamówienia.  </w:t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/>
      </w:r>
    </w:p>
    <w:p>
      <w:pPr>
        <w:pStyle w:val="Normal"/>
        <w:ind w:start="284"/>
        <w:jc w:val="center"/>
        <w:rPr>
          <w:rFonts w:ascii="Calibri" w:hAnsi="Calibri" w:cs="Calibri"/>
          <w:bCs/>
          <w:color w:val="FF0000"/>
          <w:sz w:val="20"/>
          <w:szCs w:val="20"/>
        </w:rPr>
      </w:pPr>
      <w:r>
        <w:rPr>
          <w:rFonts w:cs="Calibri"/>
          <w:bCs/>
          <w:color w:val="FF0000"/>
          <w:sz w:val="20"/>
          <w:szCs w:val="20"/>
        </w:rPr>
        <w:t>WYPEŁNIONE OŚWIADCZENIE NALEŻY OPATRZEĆ KWALIFIKOWANYM PODPISEM ELEKTRONICZNYM PRZEZ OSOBĘ/OSOBY UPRAWNIONE DO JEGO ZŁOŻENIA</w:t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/>
      </w:r>
    </w:p>
    <w:p>
      <w:pPr>
        <w:pStyle w:val="Normal"/>
        <w:spacing w:before="0" w:after="160"/>
        <w:jc w:val="both"/>
        <w:rPr/>
      </w:pPr>
      <w:r>
        <w:rPr/>
        <w:t>*/niepotrzebne skreslić</w:t>
      </w:r>
    </w:p>
    <w:sectPr>
      <w:headerReference w:type="even" r:id="rId2"/>
      <w:headerReference w:type="default" r:id="rId3"/>
      <w:headerReference w:type="first" r:id="rId4"/>
      <w:footnotePr>
        <w:numFmt w:val="decimal"/>
      </w:footnotePr>
      <w:type w:val="nextPage"/>
      <w:pgSz w:w="11906" w:h="16838"/>
      <w:pgMar w:left="1417" w:right="1417" w:gutter="0" w:header="708" w:top="1417" w:footer="0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ee" w:characterSet="windows-1250"/>
    <w:family w:val="roman"/>
    <w:pitch w:val="variable"/>
  </w:font>
  <w:font w:name="Calibri">
    <w:charset w:val="ee" w:characterSet="windows-1250"/>
    <w:family w:val="roman"/>
    <w:pitch w:val="variable"/>
  </w:font>
  <w:font w:name="Times New Roman">
    <w:charset w:val="ee" w:characterSet="windows-1250"/>
    <w:family w:val="roman"/>
    <w:pitch w:val="variable"/>
  </w:font>
  <w:font w:name="Liberation Sans">
    <w:altName w:val="Arial"/>
    <w:charset w:val="ee" w:characterSet="windows-1250"/>
    <w:family w:val="swiss"/>
    <w:pitch w:val="variable"/>
  </w:font>
</w:fonts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r>
        <w:separator/>
      </w:r>
    </w:p>
  </w:footnote>
  <w:footnote w:id="1" w:type="continuationSeparator">
    <w:p>
      <w:r>
        <w:continuationSeparator/>
      </w:r>
    </w:p>
  </w:footnote>
  <w:footnote w:id="2">
    <w:p>
      <w:pPr>
        <w:pStyle w:val="FootnoteText"/>
        <w:rPr>
          <w:sz w:val="18"/>
          <w:szCs w:val="18"/>
        </w:rPr>
      </w:pPr>
      <w:r>
        <w:rPr>
          <w:rStyle w:val="Znakiprzypiswdolnych"/>
        </w:rPr>
        <w:footnoteRef/>
      </w:r>
      <w:r>
        <w:rPr/>
        <w:t xml:space="preserve"> </w:t>
      </w:r>
      <w:r>
        <w:rPr>
          <w:rFonts w:cs="Calibri" w:ascii="Calibri" w:hAnsi="Calibri"/>
          <w:sz w:val="18"/>
          <w:szCs w:val="18"/>
        </w:rPr>
        <w:t>ustawa z dnia 13 kwietnia 2022 r. o szczególnych rozwiązaniach w zakresie przeciwdziałania wspieraniu agresji na Ukrainę oraz służących ochronie bezpieczeństwa narodowego (Dz. U. z 2024 r., poz. 507)</w:t>
      </w:r>
    </w:p>
  </w:footnote>
  <w:footnote w:id="3">
    <w:p>
      <w:pPr>
        <w:pStyle w:val="FootnoteText"/>
        <w:rPr>
          <w:rFonts w:ascii="Calibri" w:hAnsi="Calibri" w:cs="Calibri" w:asciiTheme="minorHAnsi" w:cstheme="minorHAnsi" w:hAnsiTheme="minorHAnsi"/>
          <w:sz w:val="18"/>
          <w:szCs w:val="18"/>
        </w:rPr>
      </w:pPr>
      <w:r>
        <w:rPr>
          <w:rStyle w:val="Znakiprzypiswdolnych"/>
        </w:rPr>
        <w:footnoteRef/>
      </w:r>
      <w:r>
        <w:rPr/>
        <w:t xml:space="preserve"> </w:t>
      </w:r>
      <w:r>
        <w:rPr>
          <w:rFonts w:cs="Calibri" w:ascii="Calibri" w:hAnsi="Calibri" w:asciiTheme="minorHAnsi" w:cstheme="minorHAnsi" w:hAnsiTheme="minorHAnsi"/>
          <w:sz w:val="18"/>
          <w:szCs w:val="18"/>
        </w:rPr>
        <w:t xml:space="preserve">Rozporządzenie Rady UE 2022/576 z dnia 8 kwietnia 2022r. w sprawie zmiany rozporządzenia (UE) nr 833/2014 dotyczącego środków ograniczających w związku z działaniami Rosji destabilizującymi sytuację na Ukrainie, </w:t>
      </w:r>
    </w:p>
    <w:p>
      <w:pPr>
        <w:pStyle w:val="Normal"/>
        <w:jc w:val="both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/art. 5k rozporządzenia Rady (UE) nr 833/2014 z 31 lipca 2014 r. dotyczącego środków ograniczających w związku z działaniami Rosji destabilizującymi sytuację na Ukrainie, w aktualnym brzmieniu nadanym rozporządzeniem Rady (UE) 2025/2033 z 23 października 2025 r./</w:t>
      </w:r>
    </w:p>
    <w:p>
      <w:pPr>
        <w:pStyle w:val="FootnoteText"/>
        <w:rPr>
          <w:sz w:val="18"/>
          <w:szCs w:val="18"/>
        </w:rPr>
      </w:pPr>
      <w:r>
        <w:rPr/>
      </w:r>
    </w:p>
  </w:footnote>
</w:footnote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upperRoman"/>
      <w:lvlText w:val="%1."/>
      <w:lvlJc w:val="start"/>
      <w:pPr>
        <w:tabs>
          <w:tab w:val="num" w:pos="0"/>
        </w:tabs>
        <w:ind w:start="1080" w:hanging="720"/>
      </w:pPr>
      <w:rPr>
        <w:b/>
      </w:rPr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440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2160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288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600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4320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504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760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480" w:hanging="180"/>
      </w:pPr>
      <w:rPr/>
    </w:lvl>
  </w:abstractNum>
  <w:abstractNum w:abstractNumId="2">
    <w:lvl w:ilvl="0">
      <w:start w:val="1"/>
      <w:numFmt w:val="decimal"/>
      <w:lvlText w:val="%1)"/>
      <w:lvlJc w:val="start"/>
      <w:pPr>
        <w:tabs>
          <w:tab w:val="num" w:pos="0"/>
        </w:tabs>
        <w:ind w:start="720" w:hanging="360"/>
      </w:pPr>
      <w:rPr/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440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2160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288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600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4320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504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760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480" w:hanging="180"/>
      </w:pPr>
      <w:rPr/>
    </w:lvl>
  </w:abstractNum>
  <w:abstractNum w:abstractNumId="3">
    <w:lvl w:ilvl="0">
      <w:start w:val="1"/>
      <w:numFmt w:val="decimal"/>
      <w:lvlText w:val="%1)"/>
      <w:lvlJc w:val="start"/>
      <w:pPr>
        <w:tabs>
          <w:tab w:val="num" w:pos="0"/>
        </w:tabs>
        <w:ind w:start="1068" w:hanging="360"/>
      </w:pPr>
      <w:rPr/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788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2508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3228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948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4668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5388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6108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828" w:hanging="180"/>
      </w:pPr>
      <w:rPr/>
    </w:lvl>
  </w:abstractNum>
  <w:abstractNum w:abstractNumId="4">
    <w:lvl w:ilvl="0">
      <w:start w:val="1"/>
      <w:numFmt w:val="upperRoman"/>
      <w:lvlText w:val="%1."/>
      <w:lvlJc w:val="start"/>
      <w:pPr>
        <w:tabs>
          <w:tab w:val="num" w:pos="0"/>
        </w:tabs>
        <w:ind w:start="1080" w:hanging="720"/>
      </w:pPr>
      <w:rPr>
        <w:b/>
      </w:rPr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440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2160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288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600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4320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504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760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480" w:hanging="180"/>
      </w:pPr>
      <w:rPr/>
    </w:lvl>
  </w:abstractNum>
  <w:abstractNum w:abstractNumId="5">
    <w:lvl w:ilvl="0">
      <w:start w:val="1"/>
      <w:numFmt w:val="decimal"/>
      <w:lvlText w:val="%1)"/>
      <w:lvlJc w:val="start"/>
      <w:pPr>
        <w:tabs>
          <w:tab w:val="num" w:pos="0"/>
        </w:tabs>
        <w:ind w:start="720" w:hanging="360"/>
      </w:pPr>
      <w:rPr/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440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2160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288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600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4320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504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760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480" w:hanging="180"/>
      </w:pPr>
      <w:rPr/>
    </w:lvl>
  </w:abstractNum>
  <w:abstractNum w:abstractNumId="6">
    <w:lvl w:ilvl="0">
      <w:start w:val="1"/>
      <w:numFmt w:val="decimal"/>
      <w:lvlText w:val="%1)"/>
      <w:lvlJc w:val="start"/>
      <w:pPr>
        <w:tabs>
          <w:tab w:val="num" w:pos="0"/>
        </w:tabs>
        <w:ind w:start="1068" w:hanging="360"/>
      </w:pPr>
      <w:rPr/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788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2508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3228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948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4668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5388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6108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828" w:hanging="180"/>
      </w:pPr>
      <w:rPr/>
    </w:lvl>
  </w:abstractNum>
  <w:abstractNum w:abstractNumId="7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4"/>
    <w:lvlOverride w:ilvl="0">
      <w:startOverride w:val="1"/>
    </w:lvlOverride>
  </w:num>
  <w:num w:numId="9">
    <w:abstractNumId w:val="5"/>
    <w:lvlOverride w:ilvl="0">
      <w:startOverride w:val="1"/>
    </w:lvlOverride>
  </w:num>
  <w:num w:numId="10">
    <w:abstractNumId w:val="6"/>
    <w:lvlOverride w:ilvl="0">
      <w:startOverride w:val="1"/>
    </w:lvlOverride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footnotePr>
    <w:numFmt w:val="decimal"/>
    <w:footnote w:id="0"/>
    <w:footnote w:id="1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bd7641"/>
    <w:pPr>
      <w:widowControl/>
      <w:suppressAutoHyphens w:val="true"/>
      <w:bidi w:val="0"/>
      <w:spacing w:lineRule="auto" w:line="257" w:before="0" w:after="160"/>
      <w:jc w:val="star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aplarozowa" w:customStyle="1">
    <w:name w:val="apla rozowa"/>
    <w:basedOn w:val="DefaultParagraphFont"/>
    <w:uiPriority w:val="1"/>
    <w:qFormat/>
    <w:rsid w:val="003a7ca1"/>
    <w:rPr>
      <w:rFonts w:ascii="Calibri" w:hAnsi="Calibri" w:cs="Calibri" w:asciiTheme="minorHAnsi" w:cstheme="minorHAnsi" w:hAnsiTheme="minorHAnsi"/>
      <w:color w:val="00B050"/>
    </w:rPr>
  </w:style>
  <w:style w:type="character" w:styleId="TekstprzypisudolnegoZnak" w:customStyle="1">
    <w:name w:val="Tekst przypisu dolnego Znak"/>
    <w:basedOn w:val="DefaultParagraphFont"/>
    <w:uiPriority w:val="99"/>
    <w:semiHidden/>
    <w:qFormat/>
    <w:rsid w:val="00b942ec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Znakiprzypiswdolnych" w:customStyle="1">
    <w:name w:val="Znaki przypisów dolnych"/>
    <w:uiPriority w:val="99"/>
    <w:semiHidden/>
    <w:unhideWhenUsed/>
    <w:qFormat/>
    <w:rsid w:val="00b942ec"/>
    <w:rPr>
      <w:vertAlign w:val="superscript"/>
    </w:rPr>
  </w:style>
  <w:style w:type="character" w:styleId="Znakiprzypiswdolnychuser">
    <w:name w:val="Znaki przypisów dolnych (user)"/>
    <w:qFormat/>
    <w:rsid w:val="00b942ec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TekstprzypisudolnegoZnak1" w:customStyle="1">
    <w:name w:val="Tekst przypisu dolnego Znak1"/>
    <w:basedOn w:val="DefaultParagraphFont"/>
    <w:uiPriority w:val="99"/>
    <w:semiHidden/>
    <w:qFormat/>
    <w:rsid w:val="00b942ec"/>
    <w:rPr>
      <w:sz w:val="20"/>
      <w:szCs w:val="20"/>
    </w:rPr>
  </w:style>
  <w:style w:type="character" w:styleId="NagwekZnak" w:customStyle="1">
    <w:name w:val="Nagłówek Znak"/>
    <w:basedOn w:val="DefaultParagraphFont"/>
    <w:uiPriority w:val="99"/>
    <w:qFormat/>
    <w:rsid w:val="00b942ec"/>
    <w:rPr/>
  </w:style>
  <w:style w:type="character" w:styleId="StopkaZnak" w:customStyle="1">
    <w:name w:val="Stopka Znak"/>
    <w:basedOn w:val="DefaultParagraphFont"/>
    <w:uiPriority w:val="99"/>
    <w:qFormat/>
    <w:rsid w:val="00b942ec"/>
    <w:rPr/>
  </w:style>
  <w:style w:type="character" w:styleId="Znakiprzypiswkocowych">
    <w:name w:val="Znaki przypisów końcowych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Znakiprzypiswkocowychuser">
    <w:name w:val="Znaki przypisów końcowych (user)"/>
    <w:qFormat/>
    <w:rPr/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Lucida Sans"/>
    </w:rPr>
  </w:style>
  <w:style w:type="paragraph" w:styleId="NormalWeb">
    <w:name w:val="Normal (Web)"/>
    <w:basedOn w:val="Normal"/>
    <w:uiPriority w:val="99"/>
    <w:semiHidden/>
    <w:unhideWhenUsed/>
    <w:qFormat/>
    <w:rsid w:val="00bd7641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ListParagraph">
    <w:name w:val="List Paragraph"/>
    <w:basedOn w:val="Normal"/>
    <w:uiPriority w:val="34"/>
    <w:qFormat/>
    <w:rsid w:val="00bd7641"/>
    <w:pPr>
      <w:spacing w:before="0" w:after="160"/>
      <w:ind w:start="720"/>
      <w:contextualSpacing/>
    </w:pPr>
    <w:rPr/>
  </w:style>
  <w:style w:type="paragraph" w:styleId="oj-normal" w:customStyle="1">
    <w:name w:val="oj-normal"/>
    <w:basedOn w:val="Normal"/>
    <w:qFormat/>
    <w:rsid w:val="00ed3f67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FootnoteText">
    <w:name w:val="footnote text"/>
    <w:basedOn w:val="Normal"/>
    <w:link w:val="TekstprzypisudolnegoZnak"/>
    <w:uiPriority w:val="99"/>
    <w:semiHidden/>
    <w:unhideWhenUsed/>
    <w:rsid w:val="00b942ec"/>
    <w:pPr>
      <w:suppressAutoHyphens w:val="true"/>
      <w:spacing w:lineRule="auto" w:line="240" w:before="0" w:after="0"/>
    </w:pPr>
    <w:rPr>
      <w:rFonts w:ascii="Times New Roman" w:hAnsi="Times New Roman" w:eastAsia="Times New Roman" w:cs="Times New Roman"/>
      <w:sz w:val="20"/>
      <w:szCs w:val="20"/>
      <w:lang w:eastAsia="pl-PL"/>
    </w:rPr>
  </w:style>
  <w:style w:type="paragraph" w:styleId="Gwkaistopkauser">
    <w:name w:val="Główka i stopka (user)"/>
    <w:basedOn w:val="Normal"/>
    <w:qFormat/>
    <w:pPr/>
    <w:rPr/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link w:val="NagwekZnak"/>
    <w:uiPriority w:val="99"/>
    <w:unhideWhenUsed/>
    <w:rsid w:val="00b942ec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StopkaZnak"/>
    <w:uiPriority w:val="99"/>
    <w:unhideWhenUsed/>
    <w:rsid w:val="00b942ec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numbering" w:styleId="Bezlistyuser" w:default="1">
    <w:name w:val="Bez listy (user)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39"/>
    <w:rsid w:val="00b942ec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notes" Target="footnotes.xml"/><Relationship Id="rId6" Type="http://schemas.openxmlformats.org/officeDocument/2006/relationships/numbering" Target="numbering.xm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Application>LibreOffice/26.2.2.2$Windows_X86_64 LibreOffice_project/1f77d10d6938fd34972958f64b2bcfa54f8b1ba5</Application>
  <AppVersion>15.0000</AppVersion>
  <Pages>2</Pages>
  <Words>612</Words>
  <Characters>3505</Characters>
  <CharactersWithSpaces>4100</CharactersWithSpaces>
  <Paragraphs>22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2025-12-01T08:56:00Z</dcterms:created>
  <dc:creator>Justyna Rek-Pawlowska</dc:creator>
  <dc:description/>
  <dc:language>pl-PL</dc:language>
  <cp:lastModifiedBy/>
  <dcterms:modified xsi:type="dcterms:W3CDTF">2026-04-09T17:49:51Z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